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A0C10D" w14:textId="50F2F5F1" w:rsidR="005F5F12" w:rsidRPr="00883DD4" w:rsidRDefault="00883DD4" w:rsidP="00B519FC">
      <w:pPr>
        <w:spacing w:after="0" w:line="276" w:lineRule="auto"/>
        <w:jc w:val="right"/>
        <w:rPr>
          <w:rFonts w:cstheme="minorHAnsi"/>
          <w:b/>
          <w:bCs/>
          <w:color w:val="1F3864" w:themeColor="accent1" w:themeShade="80"/>
          <w:sz w:val="50"/>
          <w:szCs w:val="50"/>
        </w:rPr>
      </w:pPr>
      <w:r w:rsidRPr="00865E06">
        <w:rPr>
          <w:rFonts w:cstheme="minorHAnsi"/>
          <w:b/>
          <w:bCs/>
          <w:noProof/>
          <w:color w:val="1F3864" w:themeColor="accent1" w:themeShade="80"/>
          <w:sz w:val="24"/>
          <w:szCs w:val="24"/>
        </w:rPr>
        <w:drawing>
          <wp:anchor distT="0" distB="0" distL="114300" distR="114300" simplePos="0" relativeHeight="251664384" behindDoc="1" locked="0" layoutInCell="1" allowOverlap="1" wp14:anchorId="13DEA94A" wp14:editId="50BAFAF6">
            <wp:simplePos x="0" y="0"/>
            <wp:positionH relativeFrom="margin">
              <wp:align>left</wp:align>
            </wp:positionH>
            <wp:positionV relativeFrom="paragraph">
              <wp:posOffset>-276225</wp:posOffset>
            </wp:positionV>
            <wp:extent cx="2574579" cy="866775"/>
            <wp:effectExtent l="0" t="0" r="0" b="0"/>
            <wp:wrapNone/>
            <wp:docPr id="5" name="Image 4" descr="Une image contenant Police, capture d’écran, Graphique, texte&#10;&#10;Description générée automatiquement">
              <a:extLst xmlns:a="http://schemas.openxmlformats.org/drawingml/2006/main">
                <a:ext uri="{FF2B5EF4-FFF2-40B4-BE49-F238E27FC236}">
                  <a16:creationId xmlns:a16="http://schemas.microsoft.com/office/drawing/2014/main" id="{DFBC44D5-E52A-C8C6-038C-E1878ACA75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descr="Une image contenant Police, capture d’écran, Graphique, texte&#10;&#10;Description générée automatiquement">
                      <a:extLst>
                        <a:ext uri="{FF2B5EF4-FFF2-40B4-BE49-F238E27FC236}">
                          <a16:creationId xmlns:a16="http://schemas.microsoft.com/office/drawing/2014/main" id="{DFBC44D5-E52A-C8C6-038C-E1878ACA75B9}"/>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574579" cy="866775"/>
                    </a:xfrm>
                    <a:prstGeom prst="rect">
                      <a:avLst/>
                    </a:prstGeom>
                  </pic:spPr>
                </pic:pic>
              </a:graphicData>
            </a:graphic>
          </wp:anchor>
        </w:drawing>
      </w:r>
      <w:r w:rsidRPr="00883DD4">
        <w:rPr>
          <w:rFonts w:cstheme="minorHAnsi"/>
          <w:b/>
          <w:bCs/>
          <w:color w:val="1F3864" w:themeColor="accent1" w:themeShade="80"/>
          <w:sz w:val="50"/>
          <w:szCs w:val="50"/>
        </w:rPr>
        <w:t>FORMATION</w:t>
      </w:r>
    </w:p>
    <w:p w14:paraId="6E3F00F3" w14:textId="5B36E90C" w:rsidR="00883DD4" w:rsidRPr="00883DD4" w:rsidRDefault="00B519FC" w:rsidP="00B519FC">
      <w:pPr>
        <w:pBdr>
          <w:bottom w:val="single" w:sz="12" w:space="1" w:color="008080"/>
        </w:pBdr>
        <w:tabs>
          <w:tab w:val="left" w:pos="1620"/>
        </w:tabs>
        <w:spacing w:after="0" w:line="276" w:lineRule="auto"/>
        <w:rPr>
          <w:rFonts w:cstheme="minorHAnsi"/>
          <w:b/>
          <w:bCs/>
          <w:color w:val="1F3864" w:themeColor="accent1" w:themeShade="80"/>
          <w:sz w:val="24"/>
          <w:szCs w:val="24"/>
        </w:rPr>
      </w:pPr>
      <w:r>
        <w:rPr>
          <w:rFonts w:cstheme="minorHAnsi"/>
          <w:b/>
          <w:bCs/>
          <w:color w:val="1F3864" w:themeColor="accent1" w:themeShade="80"/>
          <w:sz w:val="24"/>
          <w:szCs w:val="24"/>
        </w:rPr>
        <w:tab/>
      </w:r>
    </w:p>
    <w:p w14:paraId="6300F11E" w14:textId="31D7E514" w:rsidR="00883DD4" w:rsidRPr="00865E06" w:rsidRDefault="00883DD4" w:rsidP="00865E06">
      <w:pPr>
        <w:spacing w:after="0" w:line="276" w:lineRule="auto"/>
        <w:rPr>
          <w:rFonts w:cstheme="minorHAnsi"/>
          <w:b/>
          <w:bCs/>
          <w:color w:val="1F3864" w:themeColor="accent1" w:themeShade="80"/>
          <w:sz w:val="24"/>
          <w:szCs w:val="24"/>
        </w:rPr>
      </w:pPr>
    </w:p>
    <w:p w14:paraId="2B356572" w14:textId="22DA9CB0" w:rsidR="00807137" w:rsidRPr="00883DD4" w:rsidRDefault="00BE6B0C" w:rsidP="00C305A5">
      <w:pPr>
        <w:spacing w:after="0" w:line="276" w:lineRule="auto"/>
        <w:jc w:val="center"/>
        <w:rPr>
          <w:rFonts w:cstheme="minorHAnsi"/>
          <w:b/>
          <w:bCs/>
          <w:color w:val="1F3864" w:themeColor="accent1" w:themeShade="80"/>
          <w:sz w:val="24"/>
          <w:szCs w:val="24"/>
        </w:rPr>
      </w:pPr>
      <w:r w:rsidRPr="00BE6B0C">
        <w:rPr>
          <w:rFonts w:cstheme="minorHAnsi"/>
          <w:b/>
          <w:bCs/>
          <w:color w:val="1F3864" w:themeColor="accent1" w:themeShade="80"/>
          <w:sz w:val="31"/>
          <w:szCs w:val="31"/>
        </w:rPr>
        <w:t>COMMENT LE DG DOIT ADMINISTRER LES PLAINTES EN HARCÈLEMENT ?</w:t>
      </w:r>
    </w:p>
    <w:p w14:paraId="6C2A9497" w14:textId="77777777" w:rsidR="00BE6B0C" w:rsidRDefault="00BE6B0C" w:rsidP="00865E06">
      <w:pPr>
        <w:spacing w:after="0" w:line="276" w:lineRule="auto"/>
        <w:jc w:val="both"/>
        <w:rPr>
          <w:rFonts w:cstheme="minorHAnsi"/>
          <w:b/>
          <w:bCs/>
          <w:color w:val="1F3864" w:themeColor="accent1" w:themeShade="80"/>
          <w:sz w:val="24"/>
          <w:szCs w:val="24"/>
          <w:u w:val="single"/>
        </w:rPr>
      </w:pPr>
    </w:p>
    <w:p w14:paraId="4169F287" w14:textId="37B9C0EA" w:rsidR="00624ED0" w:rsidRPr="00883DD4" w:rsidRDefault="00624ED0" w:rsidP="00865E06">
      <w:pPr>
        <w:spacing w:after="0" w:line="276" w:lineRule="auto"/>
        <w:jc w:val="both"/>
        <w:rPr>
          <w:rFonts w:cstheme="minorHAnsi"/>
          <w:b/>
          <w:bCs/>
          <w:color w:val="1F3864" w:themeColor="accent1" w:themeShade="80"/>
          <w:sz w:val="24"/>
          <w:szCs w:val="24"/>
          <w:u w:val="single"/>
        </w:rPr>
      </w:pPr>
      <w:r w:rsidRPr="00883DD4">
        <w:rPr>
          <w:rFonts w:cstheme="minorHAnsi"/>
          <w:b/>
          <w:bCs/>
          <w:color w:val="1F3864" w:themeColor="accent1" w:themeShade="80"/>
          <w:sz w:val="24"/>
          <w:szCs w:val="24"/>
          <w:u w:val="single"/>
        </w:rPr>
        <w:t>DATES :</w:t>
      </w:r>
    </w:p>
    <w:p w14:paraId="7DA025A0" w14:textId="1421403C" w:rsidR="00016982" w:rsidRDefault="00F40A9C" w:rsidP="00BE6B0C">
      <w:pPr>
        <w:spacing w:after="0" w:line="276" w:lineRule="auto"/>
        <w:jc w:val="both"/>
        <w:rPr>
          <w:rFonts w:cstheme="minorHAnsi"/>
          <w:color w:val="1F3864" w:themeColor="accent1" w:themeShade="80"/>
          <w:sz w:val="24"/>
          <w:szCs w:val="24"/>
        </w:rPr>
      </w:pPr>
      <w:r w:rsidRPr="00402FBB">
        <w:rPr>
          <w:rFonts w:cstheme="minorHAnsi"/>
          <w:b/>
          <w:bCs/>
          <w:noProof/>
          <w:color w:val="4472C4" w:themeColor="accent1"/>
          <w:sz w:val="24"/>
          <w:szCs w:val="24"/>
          <w:highlight w:val="yellow"/>
        </w:rPr>
        <mc:AlternateContent>
          <mc:Choice Requires="wps">
            <w:drawing>
              <wp:anchor distT="0" distB="0" distL="114300" distR="114300" simplePos="0" relativeHeight="251672576" behindDoc="0" locked="0" layoutInCell="1" allowOverlap="1" wp14:anchorId="1DEAFBC9" wp14:editId="5E5A74F1">
                <wp:simplePos x="0" y="0"/>
                <wp:positionH relativeFrom="margin">
                  <wp:posOffset>3368039</wp:posOffset>
                </wp:positionH>
                <wp:positionV relativeFrom="paragraph">
                  <wp:posOffset>6984</wp:posOffset>
                </wp:positionV>
                <wp:extent cx="2733675" cy="1838325"/>
                <wp:effectExtent l="0" t="0" r="28575" b="28575"/>
                <wp:wrapNone/>
                <wp:docPr id="751487919" name="Zone de texte 2"/>
                <wp:cNvGraphicFramePr/>
                <a:graphic xmlns:a="http://schemas.openxmlformats.org/drawingml/2006/main">
                  <a:graphicData uri="http://schemas.microsoft.com/office/word/2010/wordprocessingShape">
                    <wps:wsp>
                      <wps:cNvSpPr txBox="1"/>
                      <wps:spPr>
                        <a:xfrm>
                          <a:off x="0" y="0"/>
                          <a:ext cx="2733675" cy="1838325"/>
                        </a:xfrm>
                        <a:prstGeom prst="rect">
                          <a:avLst/>
                        </a:prstGeom>
                        <a:solidFill>
                          <a:schemeClr val="bg1"/>
                        </a:solidFill>
                        <a:ln w="12700">
                          <a:solidFill>
                            <a:srgbClr val="008080"/>
                          </a:solidFill>
                          <a:prstDash val="sysDash"/>
                        </a:ln>
                      </wps:spPr>
                      <wps:style>
                        <a:lnRef idx="2">
                          <a:schemeClr val="accent1"/>
                        </a:lnRef>
                        <a:fillRef idx="1">
                          <a:schemeClr val="lt1"/>
                        </a:fillRef>
                        <a:effectRef idx="0">
                          <a:schemeClr val="accent1"/>
                        </a:effectRef>
                        <a:fontRef idx="minor">
                          <a:schemeClr val="dk1"/>
                        </a:fontRef>
                      </wps:style>
                      <wps:txbx>
                        <w:txbxContent>
                          <w:p w14:paraId="7FA24C63" w14:textId="55B729FF" w:rsidR="0014391E" w:rsidRPr="0014391E" w:rsidRDefault="0014391E" w:rsidP="0014391E">
                            <w:pPr>
                              <w:jc w:val="center"/>
                              <w:rPr>
                                <w:b/>
                                <w:bCs/>
                                <w:color w:val="1F3864" w:themeColor="accent1" w:themeShade="80"/>
                                <w:sz w:val="24"/>
                                <w:szCs w:val="24"/>
                              </w:rPr>
                            </w:pPr>
                            <w:r w:rsidRPr="0014391E">
                              <w:rPr>
                                <w:b/>
                                <w:bCs/>
                                <w:color w:val="1F3864" w:themeColor="accent1" w:themeShade="80"/>
                                <w:sz w:val="24"/>
                                <w:szCs w:val="24"/>
                              </w:rPr>
                              <w:t>POUR INSCRIPTION :</w:t>
                            </w:r>
                          </w:p>
                          <w:p w14:paraId="3CCD01BC" w14:textId="0058854F" w:rsidR="0014391E" w:rsidRPr="0014391E" w:rsidRDefault="00E420C1" w:rsidP="0014391E">
                            <w:pPr>
                              <w:jc w:val="center"/>
                              <w:rPr>
                                <w:sz w:val="24"/>
                                <w:szCs w:val="24"/>
                              </w:rPr>
                            </w:pPr>
                            <w:hyperlink r:id="rId11" w:history="1">
                              <w:r w:rsidR="00B75008" w:rsidRPr="00B75008">
                                <w:rPr>
                                  <w:rStyle w:val="Lienhypertexte"/>
                                  <w:sz w:val="24"/>
                                  <w:szCs w:val="24"/>
                                </w:rPr>
                                <w:t xml:space="preserve">Formations - </w:t>
                              </w:r>
                              <w:proofErr w:type="spellStart"/>
                              <w:r w:rsidR="00B75008" w:rsidRPr="00B75008">
                                <w:rPr>
                                  <w:rStyle w:val="Lienhypertexte"/>
                                  <w:sz w:val="24"/>
                                  <w:szCs w:val="24"/>
                                </w:rPr>
                                <w:t>adgmrcq</w:t>
                              </w:r>
                              <w:proofErr w:type="spellEnd"/>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EAFBC9" id="_x0000_t202" coordsize="21600,21600" o:spt="202" path="m,l,21600r21600,l21600,xe">
                <v:stroke joinstyle="miter"/>
                <v:path gradientshapeok="t" o:connecttype="rect"/>
              </v:shapetype>
              <v:shape id="Zone de texte 2" o:spid="_x0000_s1026" type="#_x0000_t202" style="position:absolute;left:0;text-align:left;margin-left:265.2pt;margin-top:.55pt;width:215.25pt;height:144.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" fillcolor="white [3212]" strokecolor="teal" strokeweight="1pt">
                <v:stroke dashstyle="3 1"/>
                <v:textbox>
                  <w:txbxContent>
                    <w:p w14:paraId="7FA24C63" w14:textId="55B729FF" w:rsidR="0014391E" w:rsidRPr="0014391E" w:rsidRDefault="0014391E" w:rsidP="0014391E">
                      <w:pPr>
                        <w:jc w:val="center"/>
                        <w:rPr>
                          <w:b/>
                          <w:bCs/>
                          <w:color w:val="1F3864" w:themeColor="accent1" w:themeShade="80"/>
                          <w:sz w:val="24"/>
                          <w:szCs w:val="24"/>
                        </w:rPr>
                      </w:pPr>
                      <w:r w:rsidRPr="0014391E">
                        <w:rPr>
                          <w:b/>
                          <w:bCs/>
                          <w:color w:val="1F3864" w:themeColor="accent1" w:themeShade="80"/>
                          <w:sz w:val="24"/>
                          <w:szCs w:val="24"/>
                        </w:rPr>
                        <w:t>POUR INSCRIPTION :</w:t>
                      </w:r>
                    </w:p>
                    <w:p w14:paraId="3CCD01BC" w14:textId="0058854F" w:rsidR="0014391E" w:rsidRPr="0014391E" w:rsidRDefault="00E420C1" w:rsidP="0014391E">
                      <w:pPr>
                        <w:jc w:val="center"/>
                        <w:rPr>
                          <w:sz w:val="24"/>
                          <w:szCs w:val="24"/>
                        </w:rPr>
                      </w:pPr>
                      <w:hyperlink r:id="rId12" w:history="1">
                        <w:r w:rsidR="00B75008" w:rsidRPr="00B75008">
                          <w:rPr>
                            <w:rStyle w:val="Lienhypertexte"/>
                            <w:sz w:val="24"/>
                            <w:szCs w:val="24"/>
                          </w:rPr>
                          <w:t xml:space="preserve">Formations - </w:t>
                        </w:r>
                        <w:proofErr w:type="spellStart"/>
                        <w:r w:rsidR="00B75008" w:rsidRPr="00B75008">
                          <w:rPr>
                            <w:rStyle w:val="Lienhypertexte"/>
                            <w:sz w:val="24"/>
                            <w:szCs w:val="24"/>
                          </w:rPr>
                          <w:t>adgmrcq</w:t>
                        </w:r>
                        <w:proofErr w:type="spellEnd"/>
                      </w:hyperlink>
                    </w:p>
                  </w:txbxContent>
                </v:textbox>
                <w10:wrap anchorx="margin"/>
              </v:shape>
            </w:pict>
          </mc:Fallback>
        </mc:AlternateContent>
      </w:r>
      <w:r w:rsidR="00BE6B0C">
        <w:rPr>
          <w:rFonts w:cstheme="minorHAnsi"/>
          <w:color w:val="1F3864" w:themeColor="accent1" w:themeShade="80"/>
          <w:sz w:val="24"/>
          <w:szCs w:val="24"/>
        </w:rPr>
        <w:t>1</w:t>
      </w:r>
      <w:r w:rsidR="00BE6B0C">
        <w:rPr>
          <w:rFonts w:cstheme="minorHAnsi"/>
          <w:color w:val="1F3864" w:themeColor="accent1" w:themeShade="80"/>
          <w:sz w:val="24"/>
          <w:szCs w:val="24"/>
          <w:vertAlign w:val="superscript"/>
        </w:rPr>
        <w:t xml:space="preserve">er </w:t>
      </w:r>
      <w:r w:rsidR="00BE6B0C">
        <w:rPr>
          <w:rFonts w:cstheme="minorHAnsi"/>
          <w:color w:val="1F3864" w:themeColor="accent1" w:themeShade="80"/>
          <w:sz w:val="24"/>
          <w:szCs w:val="24"/>
        </w:rPr>
        <w:t xml:space="preserve">octobre 2024 de 13h00 à </w:t>
      </w:r>
      <w:r w:rsidR="00D23E5B">
        <w:rPr>
          <w:rFonts w:cstheme="minorHAnsi"/>
          <w:color w:val="1F3864" w:themeColor="accent1" w:themeShade="80"/>
          <w:sz w:val="24"/>
          <w:szCs w:val="24"/>
        </w:rPr>
        <w:t>16h00</w:t>
      </w:r>
    </w:p>
    <w:p w14:paraId="386D4539" w14:textId="115E2607" w:rsidR="00883DD4" w:rsidRPr="00883DD4" w:rsidRDefault="00883DD4" w:rsidP="00865E06">
      <w:pPr>
        <w:spacing w:after="0" w:line="276" w:lineRule="auto"/>
        <w:jc w:val="both"/>
        <w:rPr>
          <w:rFonts w:cstheme="minorHAnsi"/>
          <w:color w:val="1F3864" w:themeColor="accent1" w:themeShade="80"/>
          <w:sz w:val="24"/>
          <w:szCs w:val="24"/>
        </w:rPr>
      </w:pPr>
    </w:p>
    <w:p w14:paraId="462D8F4E" w14:textId="3365C02B" w:rsidR="00883DD4" w:rsidRPr="00244276" w:rsidRDefault="00883DD4" w:rsidP="00865E06">
      <w:pPr>
        <w:spacing w:after="0" w:line="276" w:lineRule="auto"/>
        <w:jc w:val="both"/>
        <w:rPr>
          <w:rFonts w:cstheme="minorHAnsi"/>
          <w:b/>
          <w:bCs/>
          <w:color w:val="1F3864" w:themeColor="accent1" w:themeShade="80"/>
          <w:sz w:val="24"/>
          <w:szCs w:val="24"/>
          <w:u w:val="single"/>
        </w:rPr>
      </w:pPr>
      <w:r w:rsidRPr="00244276">
        <w:rPr>
          <w:rFonts w:cstheme="minorHAnsi"/>
          <w:b/>
          <w:bCs/>
          <w:color w:val="1F3864" w:themeColor="accent1" w:themeShade="80"/>
          <w:sz w:val="24"/>
          <w:szCs w:val="24"/>
          <w:u w:val="single"/>
        </w:rPr>
        <w:t>DURÉE :</w:t>
      </w:r>
    </w:p>
    <w:p w14:paraId="4F287F75" w14:textId="1890F236" w:rsidR="00883DD4" w:rsidRPr="00244276" w:rsidRDefault="00D23E5B" w:rsidP="00865E06">
      <w:pPr>
        <w:spacing w:after="0" w:line="276" w:lineRule="auto"/>
        <w:jc w:val="both"/>
        <w:rPr>
          <w:rFonts w:cstheme="minorHAnsi"/>
          <w:color w:val="1F3864" w:themeColor="accent1" w:themeShade="80"/>
          <w:sz w:val="24"/>
          <w:szCs w:val="24"/>
        </w:rPr>
      </w:pPr>
      <w:r>
        <w:rPr>
          <w:rFonts w:cstheme="minorHAnsi"/>
          <w:color w:val="1F3864" w:themeColor="accent1" w:themeShade="80"/>
          <w:sz w:val="24"/>
          <w:szCs w:val="24"/>
        </w:rPr>
        <w:t>3h00</w:t>
      </w:r>
    </w:p>
    <w:p w14:paraId="70AB6196" w14:textId="00650A7C" w:rsidR="00B72364" w:rsidRPr="00244276" w:rsidRDefault="00B72364" w:rsidP="00865E06">
      <w:pPr>
        <w:spacing w:after="0" w:line="276" w:lineRule="auto"/>
        <w:jc w:val="both"/>
        <w:rPr>
          <w:rFonts w:cstheme="minorHAnsi"/>
          <w:color w:val="1F3864" w:themeColor="accent1" w:themeShade="80"/>
          <w:sz w:val="24"/>
          <w:szCs w:val="24"/>
        </w:rPr>
      </w:pPr>
    </w:p>
    <w:p w14:paraId="1602A89F" w14:textId="4B4F48E2" w:rsidR="00B72364" w:rsidRPr="00244276" w:rsidRDefault="00B72364" w:rsidP="00865E06">
      <w:pPr>
        <w:spacing w:after="0" w:line="276" w:lineRule="auto"/>
        <w:jc w:val="both"/>
        <w:rPr>
          <w:rFonts w:cstheme="minorHAnsi"/>
          <w:b/>
          <w:bCs/>
          <w:color w:val="1F3864" w:themeColor="accent1" w:themeShade="80"/>
          <w:sz w:val="24"/>
          <w:szCs w:val="24"/>
          <w:u w:val="single"/>
        </w:rPr>
      </w:pPr>
      <w:r w:rsidRPr="00244276">
        <w:rPr>
          <w:rFonts w:cstheme="minorHAnsi"/>
          <w:b/>
          <w:bCs/>
          <w:color w:val="1F3864" w:themeColor="accent1" w:themeShade="80"/>
          <w:sz w:val="24"/>
          <w:szCs w:val="24"/>
          <w:u w:val="single"/>
        </w:rPr>
        <w:t>COÛT :</w:t>
      </w:r>
    </w:p>
    <w:p w14:paraId="2B8D38AF" w14:textId="3E82523A" w:rsidR="00330A87" w:rsidRPr="00244276" w:rsidRDefault="0051485C" w:rsidP="00865E06">
      <w:pPr>
        <w:spacing w:after="0" w:line="276" w:lineRule="auto"/>
        <w:jc w:val="both"/>
        <w:rPr>
          <w:rFonts w:cstheme="minorHAnsi"/>
          <w:color w:val="1F3864" w:themeColor="accent1" w:themeShade="80"/>
          <w:sz w:val="24"/>
          <w:szCs w:val="24"/>
        </w:rPr>
      </w:pPr>
      <w:r w:rsidRPr="00244276">
        <w:rPr>
          <w:rFonts w:cstheme="minorHAnsi"/>
          <w:color w:val="1F3864" w:themeColor="accent1" w:themeShade="80"/>
          <w:sz w:val="24"/>
          <w:szCs w:val="24"/>
        </w:rPr>
        <w:t>Membre :</w:t>
      </w:r>
      <w:r w:rsidR="00CB551A" w:rsidRPr="00244276">
        <w:rPr>
          <w:rFonts w:cstheme="minorHAnsi"/>
          <w:color w:val="1F3864" w:themeColor="accent1" w:themeShade="80"/>
          <w:sz w:val="24"/>
          <w:szCs w:val="24"/>
        </w:rPr>
        <w:t xml:space="preserve"> </w:t>
      </w:r>
      <w:r w:rsidR="00D23E5B">
        <w:rPr>
          <w:rFonts w:cstheme="minorHAnsi"/>
          <w:b/>
          <w:bCs/>
          <w:color w:val="1F3864" w:themeColor="accent1" w:themeShade="80"/>
          <w:sz w:val="24"/>
          <w:szCs w:val="24"/>
        </w:rPr>
        <w:t>235</w:t>
      </w:r>
      <w:r w:rsidR="00CB551A" w:rsidRPr="00244276">
        <w:rPr>
          <w:rFonts w:cstheme="minorHAnsi"/>
          <w:b/>
          <w:bCs/>
          <w:color w:val="1F3864" w:themeColor="accent1" w:themeShade="80"/>
          <w:sz w:val="24"/>
          <w:szCs w:val="24"/>
        </w:rPr>
        <w:t xml:space="preserve">$ </w:t>
      </w:r>
      <w:r w:rsidR="00CB551A" w:rsidRPr="00244276">
        <w:rPr>
          <w:rFonts w:cstheme="minorHAnsi"/>
          <w:color w:val="1F3864" w:themeColor="accent1" w:themeShade="80"/>
          <w:sz w:val="24"/>
          <w:szCs w:val="24"/>
        </w:rPr>
        <w:t>plus les taxes applicables</w:t>
      </w:r>
    </w:p>
    <w:p w14:paraId="4219C5DE" w14:textId="30661DC4" w:rsidR="00D23E5B" w:rsidRPr="00244276" w:rsidRDefault="00D23E5B" w:rsidP="00D23E5B">
      <w:pPr>
        <w:spacing w:after="0" w:line="276" w:lineRule="auto"/>
        <w:jc w:val="both"/>
        <w:rPr>
          <w:rFonts w:cstheme="minorHAnsi"/>
          <w:color w:val="1F3864" w:themeColor="accent1" w:themeShade="80"/>
          <w:sz w:val="24"/>
          <w:szCs w:val="24"/>
        </w:rPr>
      </w:pPr>
      <w:r>
        <w:rPr>
          <w:rFonts w:cstheme="minorHAnsi"/>
          <w:color w:val="1F3864" w:themeColor="accent1" w:themeShade="80"/>
          <w:sz w:val="24"/>
          <w:szCs w:val="24"/>
        </w:rPr>
        <w:t>Non-m</w:t>
      </w:r>
      <w:r w:rsidRPr="00244276">
        <w:rPr>
          <w:rFonts w:cstheme="minorHAnsi"/>
          <w:color w:val="1F3864" w:themeColor="accent1" w:themeShade="80"/>
          <w:sz w:val="24"/>
          <w:szCs w:val="24"/>
        </w:rPr>
        <w:t xml:space="preserve">embre : </w:t>
      </w:r>
      <w:r>
        <w:rPr>
          <w:rFonts w:cstheme="minorHAnsi"/>
          <w:b/>
          <w:bCs/>
          <w:color w:val="1F3864" w:themeColor="accent1" w:themeShade="80"/>
          <w:sz w:val="24"/>
          <w:szCs w:val="24"/>
        </w:rPr>
        <w:t>360</w:t>
      </w:r>
      <w:r w:rsidRPr="00244276">
        <w:rPr>
          <w:rFonts w:cstheme="minorHAnsi"/>
          <w:b/>
          <w:bCs/>
          <w:color w:val="1F3864" w:themeColor="accent1" w:themeShade="80"/>
          <w:sz w:val="24"/>
          <w:szCs w:val="24"/>
        </w:rPr>
        <w:t xml:space="preserve">$ </w:t>
      </w:r>
      <w:r w:rsidRPr="00244276">
        <w:rPr>
          <w:rFonts w:cstheme="minorHAnsi"/>
          <w:color w:val="1F3864" w:themeColor="accent1" w:themeShade="80"/>
          <w:sz w:val="24"/>
          <w:szCs w:val="24"/>
        </w:rPr>
        <w:t>plus les taxes applicables</w:t>
      </w:r>
    </w:p>
    <w:p w14:paraId="02F9BECF" w14:textId="77777777" w:rsidR="00D23E5B" w:rsidRDefault="00D23E5B" w:rsidP="00865E06">
      <w:pPr>
        <w:spacing w:after="0" w:line="276" w:lineRule="auto"/>
        <w:jc w:val="both"/>
        <w:rPr>
          <w:rFonts w:cstheme="minorHAnsi"/>
          <w:b/>
          <w:bCs/>
          <w:color w:val="1F3864" w:themeColor="accent1" w:themeShade="80"/>
          <w:sz w:val="24"/>
          <w:szCs w:val="24"/>
          <w:u w:val="single"/>
        </w:rPr>
      </w:pPr>
    </w:p>
    <w:p w14:paraId="203DD630" w14:textId="412267DD" w:rsidR="00865E06" w:rsidRPr="00883DD4" w:rsidRDefault="00865E06" w:rsidP="00865E06">
      <w:pPr>
        <w:spacing w:after="0" w:line="276" w:lineRule="auto"/>
        <w:jc w:val="both"/>
        <w:rPr>
          <w:rFonts w:cstheme="minorHAnsi"/>
          <w:b/>
          <w:bCs/>
          <w:color w:val="1F3864" w:themeColor="accent1" w:themeShade="80"/>
          <w:sz w:val="24"/>
          <w:szCs w:val="24"/>
          <w:u w:val="single"/>
        </w:rPr>
      </w:pPr>
      <w:r w:rsidRPr="00883DD4">
        <w:rPr>
          <w:rFonts w:cstheme="minorHAnsi"/>
          <w:b/>
          <w:bCs/>
          <w:color w:val="1F3864" w:themeColor="accent1" w:themeShade="80"/>
          <w:sz w:val="24"/>
          <w:szCs w:val="24"/>
          <w:u w:val="single"/>
        </w:rPr>
        <w:t>FORMAT :</w:t>
      </w:r>
    </w:p>
    <w:p w14:paraId="7F4EAB3A" w14:textId="77777777" w:rsidR="00865E06" w:rsidRDefault="00865E06" w:rsidP="00865E06">
      <w:pPr>
        <w:spacing w:after="0" w:line="276" w:lineRule="auto"/>
        <w:jc w:val="both"/>
        <w:rPr>
          <w:rFonts w:cstheme="minorHAnsi"/>
          <w:color w:val="1F3864" w:themeColor="accent1" w:themeShade="80"/>
          <w:sz w:val="24"/>
          <w:szCs w:val="24"/>
        </w:rPr>
      </w:pPr>
      <w:r w:rsidRPr="00883DD4">
        <w:rPr>
          <w:rFonts w:cstheme="minorHAnsi"/>
          <w:color w:val="1F3864" w:themeColor="accent1" w:themeShade="80"/>
          <w:sz w:val="24"/>
          <w:szCs w:val="24"/>
        </w:rPr>
        <w:t>Webinaire</w:t>
      </w:r>
    </w:p>
    <w:p w14:paraId="080BCE54" w14:textId="77777777" w:rsidR="00865E06" w:rsidRDefault="00865E06" w:rsidP="00865E06">
      <w:pPr>
        <w:spacing w:after="0" w:line="276" w:lineRule="auto"/>
        <w:jc w:val="both"/>
        <w:rPr>
          <w:rFonts w:cstheme="minorHAnsi"/>
          <w:color w:val="1F3864" w:themeColor="accent1" w:themeShade="80"/>
          <w:sz w:val="24"/>
          <w:szCs w:val="24"/>
        </w:rPr>
      </w:pPr>
      <w:r>
        <w:rPr>
          <w:rFonts w:cstheme="minorHAnsi"/>
          <w:color w:val="1F3864" w:themeColor="accent1" w:themeShade="80"/>
          <w:sz w:val="24"/>
          <w:szCs w:val="24"/>
        </w:rPr>
        <w:t>L</w:t>
      </w:r>
      <w:r w:rsidRPr="00883DD4">
        <w:rPr>
          <w:rFonts w:cstheme="minorHAnsi"/>
          <w:color w:val="1F3864" w:themeColor="accent1" w:themeShade="80"/>
          <w:sz w:val="24"/>
          <w:szCs w:val="24"/>
        </w:rPr>
        <w:t>e lien</w:t>
      </w:r>
      <w:r>
        <w:rPr>
          <w:rFonts w:cstheme="minorHAnsi"/>
          <w:color w:val="1F3864" w:themeColor="accent1" w:themeShade="80"/>
          <w:sz w:val="24"/>
          <w:szCs w:val="24"/>
        </w:rPr>
        <w:t xml:space="preserve"> </w:t>
      </w:r>
      <w:r w:rsidRPr="00883DD4">
        <w:rPr>
          <w:rFonts w:cstheme="minorHAnsi"/>
          <w:color w:val="1F3864" w:themeColor="accent1" w:themeShade="80"/>
          <w:sz w:val="24"/>
          <w:szCs w:val="24"/>
        </w:rPr>
        <w:t xml:space="preserve">vous permettant d’accéder à la formation </w:t>
      </w:r>
      <w:r>
        <w:rPr>
          <w:rFonts w:cstheme="minorHAnsi"/>
          <w:color w:val="1F3864" w:themeColor="accent1" w:themeShade="80"/>
          <w:sz w:val="24"/>
          <w:szCs w:val="24"/>
        </w:rPr>
        <w:t xml:space="preserve">en visioconférence </w:t>
      </w:r>
      <w:r w:rsidRPr="00883DD4">
        <w:rPr>
          <w:rFonts w:cstheme="minorHAnsi"/>
          <w:color w:val="1F3864" w:themeColor="accent1" w:themeShade="80"/>
          <w:sz w:val="24"/>
          <w:szCs w:val="24"/>
        </w:rPr>
        <w:t>vous sera acheminé ultérieurement</w:t>
      </w:r>
      <w:r>
        <w:rPr>
          <w:rFonts w:cstheme="minorHAnsi"/>
          <w:color w:val="1F3864" w:themeColor="accent1" w:themeShade="80"/>
          <w:sz w:val="24"/>
          <w:szCs w:val="24"/>
        </w:rPr>
        <w:t>).</w:t>
      </w:r>
    </w:p>
    <w:p w14:paraId="4E8E5B9D" w14:textId="23822960" w:rsidR="00624ED0" w:rsidRPr="00883DD4" w:rsidRDefault="00624ED0" w:rsidP="00865E06">
      <w:pPr>
        <w:spacing w:after="0" w:line="276" w:lineRule="auto"/>
        <w:jc w:val="both"/>
        <w:rPr>
          <w:rFonts w:cstheme="minorHAnsi"/>
          <w:b/>
          <w:bCs/>
          <w:color w:val="1F3864" w:themeColor="accent1" w:themeShade="80"/>
          <w:sz w:val="24"/>
          <w:szCs w:val="24"/>
        </w:rPr>
      </w:pPr>
    </w:p>
    <w:p w14:paraId="0CB8DD90" w14:textId="30003DF2" w:rsidR="00624ED0" w:rsidRPr="00883DD4" w:rsidRDefault="00883DD4" w:rsidP="00865E06">
      <w:pPr>
        <w:spacing w:after="0" w:line="276" w:lineRule="auto"/>
        <w:jc w:val="both"/>
        <w:rPr>
          <w:rFonts w:cstheme="minorHAnsi"/>
          <w:b/>
          <w:bCs/>
          <w:color w:val="1F3864" w:themeColor="accent1" w:themeShade="80"/>
          <w:sz w:val="24"/>
          <w:szCs w:val="24"/>
          <w:u w:val="single"/>
        </w:rPr>
      </w:pPr>
      <w:r w:rsidRPr="00883DD4">
        <w:rPr>
          <w:rFonts w:cstheme="minorHAnsi"/>
          <w:b/>
          <w:bCs/>
          <w:color w:val="1F3864" w:themeColor="accent1" w:themeShade="80"/>
          <w:sz w:val="24"/>
          <w:szCs w:val="24"/>
          <w:u w:val="single"/>
        </w:rPr>
        <w:t>CLIENTÈLE VISÉE :</w:t>
      </w:r>
    </w:p>
    <w:p w14:paraId="0F22D5C9" w14:textId="35EC4101" w:rsidR="00624ED0" w:rsidRDefault="00624ED0" w:rsidP="00865E06">
      <w:pPr>
        <w:spacing w:after="0" w:line="276" w:lineRule="auto"/>
        <w:jc w:val="both"/>
        <w:rPr>
          <w:rFonts w:ascii="Calibri" w:hAnsi="Calibri" w:cs="Calibri"/>
          <w:color w:val="002060"/>
          <w:sz w:val="24"/>
          <w:szCs w:val="24"/>
          <w:lang w:val="fr-FR"/>
        </w:rPr>
      </w:pPr>
      <w:r w:rsidRPr="00244276">
        <w:rPr>
          <w:rFonts w:cstheme="minorHAnsi"/>
          <w:color w:val="1F3864" w:themeColor="accent1" w:themeShade="80"/>
          <w:sz w:val="24"/>
          <w:szCs w:val="24"/>
        </w:rPr>
        <w:t xml:space="preserve">La formation s’adresse à </w:t>
      </w:r>
      <w:r w:rsidR="00244276" w:rsidRPr="00244276">
        <w:rPr>
          <w:rFonts w:ascii="Calibri" w:hAnsi="Calibri" w:cs="Calibri"/>
          <w:color w:val="002060"/>
          <w:sz w:val="24"/>
          <w:szCs w:val="24"/>
          <w:lang w:val="fr-FR"/>
        </w:rPr>
        <w:t>t</w:t>
      </w:r>
      <w:r w:rsidR="00244276" w:rsidRPr="00D94491">
        <w:rPr>
          <w:rFonts w:ascii="Calibri" w:hAnsi="Calibri" w:cs="Calibri"/>
          <w:color w:val="002060"/>
          <w:sz w:val="24"/>
          <w:szCs w:val="24"/>
          <w:lang w:val="fr-FR"/>
        </w:rPr>
        <w:t xml:space="preserve">ous les gestionnaires de municipalités, MRC et régies </w:t>
      </w:r>
      <w:r w:rsidR="00244276">
        <w:rPr>
          <w:rFonts w:ascii="Calibri" w:hAnsi="Calibri" w:cs="Calibri"/>
          <w:color w:val="002060"/>
          <w:sz w:val="24"/>
          <w:szCs w:val="24"/>
          <w:lang w:val="fr-FR"/>
        </w:rPr>
        <w:t>i</w:t>
      </w:r>
      <w:r w:rsidR="00244276" w:rsidRPr="00D94491">
        <w:rPr>
          <w:rFonts w:ascii="Calibri" w:hAnsi="Calibri" w:cs="Calibri"/>
          <w:color w:val="002060"/>
          <w:sz w:val="24"/>
          <w:szCs w:val="24"/>
          <w:lang w:val="fr-FR"/>
        </w:rPr>
        <w:t>ntermunicipales.</w:t>
      </w:r>
    </w:p>
    <w:p w14:paraId="03DD37A0" w14:textId="77777777" w:rsidR="00EC0162" w:rsidRPr="00883DD4" w:rsidRDefault="00EC0162" w:rsidP="00865E06">
      <w:pPr>
        <w:spacing w:after="0" w:line="276" w:lineRule="auto"/>
        <w:jc w:val="both"/>
        <w:rPr>
          <w:rFonts w:cstheme="minorHAnsi"/>
          <w:color w:val="1F3864" w:themeColor="accent1" w:themeShade="80"/>
          <w:sz w:val="24"/>
          <w:szCs w:val="24"/>
        </w:rPr>
      </w:pPr>
    </w:p>
    <w:p w14:paraId="68CCA602" w14:textId="011CB3E6" w:rsidR="00E96612" w:rsidRPr="00E96612" w:rsidRDefault="00883DD4" w:rsidP="00E96612">
      <w:pPr>
        <w:spacing w:after="0" w:line="276" w:lineRule="auto"/>
        <w:jc w:val="both"/>
        <w:rPr>
          <w:rFonts w:cstheme="minorHAnsi"/>
          <w:b/>
          <w:bCs/>
          <w:color w:val="1F3864" w:themeColor="accent1" w:themeShade="80"/>
          <w:sz w:val="24"/>
          <w:szCs w:val="24"/>
          <w:u w:val="single"/>
        </w:rPr>
      </w:pPr>
      <w:r w:rsidRPr="00883DD4">
        <w:rPr>
          <w:rFonts w:cstheme="minorHAnsi"/>
          <w:b/>
          <w:bCs/>
          <w:color w:val="1F3864" w:themeColor="accent1" w:themeShade="80"/>
          <w:sz w:val="24"/>
          <w:szCs w:val="24"/>
          <w:u w:val="single"/>
        </w:rPr>
        <w:t>DESCRIPTION :</w:t>
      </w:r>
    </w:p>
    <w:p w14:paraId="0E0987D3" w14:textId="77777777" w:rsidR="00E96612" w:rsidRPr="00E96612" w:rsidRDefault="00E96612" w:rsidP="00E96612">
      <w:pPr>
        <w:spacing w:after="0" w:line="276" w:lineRule="auto"/>
        <w:jc w:val="both"/>
        <w:rPr>
          <w:rFonts w:ascii="Calibri" w:hAnsi="Calibri" w:cs="Calibri"/>
          <w:color w:val="002060"/>
          <w:sz w:val="24"/>
          <w:szCs w:val="24"/>
          <w:lang w:val="fr-FR"/>
        </w:rPr>
      </w:pPr>
      <w:r w:rsidRPr="00E96612">
        <w:rPr>
          <w:rFonts w:ascii="Calibri" w:hAnsi="Calibri" w:cs="Calibri"/>
          <w:color w:val="002060"/>
          <w:sz w:val="24"/>
          <w:szCs w:val="24"/>
          <w:lang w:val="fr-FR"/>
        </w:rPr>
        <w:t>Depuis le 1</w:t>
      </w:r>
      <w:r w:rsidRPr="00E96612">
        <w:rPr>
          <w:rFonts w:ascii="Calibri" w:hAnsi="Calibri" w:cs="Calibri"/>
          <w:color w:val="002060"/>
          <w:sz w:val="24"/>
          <w:szCs w:val="24"/>
          <w:vertAlign w:val="superscript"/>
          <w:lang w:val="fr-FR"/>
        </w:rPr>
        <w:t>er</w:t>
      </w:r>
      <w:r w:rsidRPr="00E96612">
        <w:rPr>
          <w:rFonts w:ascii="Calibri" w:hAnsi="Calibri" w:cs="Calibri"/>
          <w:color w:val="002060"/>
          <w:sz w:val="24"/>
          <w:szCs w:val="24"/>
          <w:lang w:val="fr-FR"/>
        </w:rPr>
        <w:t xml:space="preserve"> janvier 2019, les employeurs régis par la Loi sur les normes du travail doivent appliquer une politique de prévention du harcèlement psychologique et de traitement des plaintes. Pour les organismes municipaux, les gestionnaires sont bien souvent ceux responsables de son application.  Devant une telle plainte, le gestionnaire peut se questionner sur les mesures à prendre afin d’assurer la gestion diligente de celle-ci. </w:t>
      </w:r>
    </w:p>
    <w:p w14:paraId="1EAC6F1D" w14:textId="77777777" w:rsidR="00E96612" w:rsidRPr="00E96612" w:rsidRDefault="00E96612" w:rsidP="00E96612">
      <w:pPr>
        <w:spacing w:after="0" w:line="276" w:lineRule="auto"/>
        <w:jc w:val="both"/>
        <w:rPr>
          <w:rFonts w:ascii="Calibri" w:hAnsi="Calibri" w:cs="Calibri"/>
          <w:color w:val="002060"/>
          <w:sz w:val="24"/>
          <w:szCs w:val="24"/>
          <w:lang w:val="fr-FR"/>
        </w:rPr>
      </w:pPr>
    </w:p>
    <w:p w14:paraId="582F6D9F" w14:textId="77777777" w:rsidR="00E96612" w:rsidRPr="00E96612" w:rsidRDefault="00E96612" w:rsidP="00E96612">
      <w:pPr>
        <w:spacing w:after="0" w:line="276" w:lineRule="auto"/>
        <w:jc w:val="both"/>
        <w:rPr>
          <w:rFonts w:ascii="Calibri" w:hAnsi="Calibri" w:cs="Calibri"/>
          <w:color w:val="002060"/>
          <w:sz w:val="24"/>
          <w:szCs w:val="24"/>
          <w:lang w:val="fr-FR"/>
        </w:rPr>
      </w:pPr>
      <w:r w:rsidRPr="00E96612">
        <w:rPr>
          <w:rFonts w:ascii="Calibri" w:hAnsi="Calibri" w:cs="Calibri"/>
          <w:color w:val="002060"/>
          <w:sz w:val="24"/>
          <w:szCs w:val="24"/>
          <w:lang w:val="fr-FR"/>
        </w:rPr>
        <w:t xml:space="preserve">Le cadre applicable a été tout récemment modifié par la sanction de la Loi visant à prévenir et à combattre le harcèlement psychologique et la violence à caractère sexuel en milieu de travail. Nous traiterons des nouvelles dispositions en vigueur. </w:t>
      </w:r>
    </w:p>
    <w:p w14:paraId="2E8D4E8B" w14:textId="77777777" w:rsidR="00E96612" w:rsidRPr="00E96612" w:rsidRDefault="00E96612" w:rsidP="00E96612">
      <w:pPr>
        <w:spacing w:after="0" w:line="276" w:lineRule="auto"/>
        <w:jc w:val="both"/>
        <w:rPr>
          <w:rFonts w:ascii="Calibri" w:hAnsi="Calibri" w:cs="Calibri"/>
          <w:color w:val="002060"/>
          <w:sz w:val="24"/>
          <w:szCs w:val="24"/>
          <w:lang w:val="fr-FR"/>
        </w:rPr>
      </w:pPr>
    </w:p>
    <w:p w14:paraId="7E0B05E8" w14:textId="77777777" w:rsidR="00E96612" w:rsidRPr="00E96612" w:rsidRDefault="00E96612" w:rsidP="00E96612">
      <w:pPr>
        <w:spacing w:after="0" w:line="276" w:lineRule="auto"/>
        <w:jc w:val="both"/>
        <w:rPr>
          <w:rFonts w:ascii="Calibri" w:hAnsi="Calibri" w:cs="Calibri"/>
          <w:color w:val="002060"/>
          <w:sz w:val="24"/>
          <w:szCs w:val="24"/>
          <w:lang w:val="fr-FR"/>
        </w:rPr>
      </w:pPr>
      <w:r w:rsidRPr="00E96612">
        <w:rPr>
          <w:rFonts w:ascii="Calibri" w:hAnsi="Calibri" w:cs="Calibri"/>
          <w:color w:val="002060"/>
          <w:sz w:val="24"/>
          <w:szCs w:val="24"/>
          <w:lang w:val="fr-FR"/>
        </w:rPr>
        <w:t xml:space="preserve">Cette formation se veut être un guide pour outiller le gestionnaire dans l’administration de la politique et d’une plainte en harcèlement incluant le cas où la plainte est dirigée contre le directeur général.  Au courant de cette formation, les sujets suivants seront notamment abordés : </w:t>
      </w:r>
    </w:p>
    <w:p w14:paraId="07EE8634" w14:textId="77777777" w:rsidR="00E96612" w:rsidRPr="00E96612" w:rsidRDefault="00E96612" w:rsidP="00E96612">
      <w:pPr>
        <w:spacing w:after="0" w:line="276" w:lineRule="auto"/>
        <w:jc w:val="both"/>
        <w:rPr>
          <w:rFonts w:ascii="Calibri" w:hAnsi="Calibri" w:cs="Calibri"/>
          <w:color w:val="002060"/>
          <w:sz w:val="24"/>
          <w:szCs w:val="24"/>
          <w:lang w:val="fr-FR"/>
        </w:rPr>
      </w:pPr>
    </w:p>
    <w:p w14:paraId="649F222D" w14:textId="4598021A" w:rsidR="00E96612" w:rsidRPr="00E96612" w:rsidRDefault="00E96612" w:rsidP="00E96612">
      <w:pPr>
        <w:spacing w:after="0" w:line="276" w:lineRule="auto"/>
        <w:jc w:val="both"/>
        <w:rPr>
          <w:rFonts w:ascii="Calibri" w:hAnsi="Calibri" w:cs="Calibri"/>
          <w:color w:val="002060"/>
          <w:sz w:val="24"/>
          <w:szCs w:val="24"/>
          <w:lang w:val="fr-FR"/>
        </w:rPr>
      </w:pPr>
      <w:r w:rsidRPr="00E96612">
        <w:rPr>
          <w:rFonts w:ascii="Calibri" w:hAnsi="Calibri" w:cs="Calibri"/>
          <w:color w:val="002060"/>
          <w:sz w:val="24"/>
          <w:szCs w:val="24"/>
          <w:lang w:val="fr-FR"/>
        </w:rPr>
        <w:t>-</w:t>
      </w:r>
      <w:r w:rsidRPr="00E96612">
        <w:rPr>
          <w:rFonts w:ascii="Calibri" w:hAnsi="Calibri" w:cs="Calibri"/>
          <w:color w:val="002060"/>
          <w:sz w:val="24"/>
          <w:szCs w:val="24"/>
          <w:lang w:val="fr-FR"/>
        </w:rPr>
        <w:tab/>
        <w:t>Les divers intervenants et leurs devoirs dans l’application de la politique ;</w:t>
      </w:r>
    </w:p>
    <w:p w14:paraId="47EEF569" w14:textId="7874B7C9" w:rsidR="00E96612" w:rsidRPr="00E96612" w:rsidRDefault="00E96612" w:rsidP="00E96612">
      <w:pPr>
        <w:spacing w:after="0" w:line="276" w:lineRule="auto"/>
        <w:jc w:val="both"/>
        <w:rPr>
          <w:rFonts w:ascii="Calibri" w:hAnsi="Calibri" w:cs="Calibri"/>
          <w:color w:val="002060"/>
          <w:sz w:val="24"/>
          <w:szCs w:val="24"/>
          <w:lang w:val="fr-FR"/>
        </w:rPr>
      </w:pPr>
      <w:r w:rsidRPr="00E96612">
        <w:rPr>
          <w:rFonts w:ascii="Calibri" w:hAnsi="Calibri" w:cs="Calibri"/>
          <w:color w:val="002060"/>
          <w:sz w:val="24"/>
          <w:szCs w:val="24"/>
          <w:lang w:val="fr-FR"/>
        </w:rPr>
        <w:t>-</w:t>
      </w:r>
      <w:r w:rsidRPr="00E96612">
        <w:rPr>
          <w:rFonts w:ascii="Calibri" w:hAnsi="Calibri" w:cs="Calibri"/>
          <w:color w:val="002060"/>
          <w:sz w:val="24"/>
          <w:szCs w:val="24"/>
          <w:lang w:val="fr-FR"/>
        </w:rPr>
        <w:tab/>
        <w:t>Les bonnes pratiques dans la gestion de la plainte ;</w:t>
      </w:r>
    </w:p>
    <w:p w14:paraId="3549878D" w14:textId="77777777" w:rsidR="00E96612" w:rsidRPr="00E96612" w:rsidRDefault="00E96612" w:rsidP="00E96612">
      <w:pPr>
        <w:spacing w:after="0" w:line="276" w:lineRule="auto"/>
        <w:jc w:val="both"/>
        <w:rPr>
          <w:rFonts w:ascii="Calibri" w:hAnsi="Calibri" w:cs="Calibri"/>
          <w:color w:val="002060"/>
          <w:sz w:val="24"/>
          <w:szCs w:val="24"/>
          <w:lang w:val="fr-FR"/>
        </w:rPr>
      </w:pPr>
      <w:r w:rsidRPr="00E96612">
        <w:rPr>
          <w:rFonts w:ascii="Calibri" w:hAnsi="Calibri" w:cs="Calibri"/>
          <w:color w:val="002060"/>
          <w:sz w:val="24"/>
          <w:szCs w:val="24"/>
          <w:lang w:val="fr-FR"/>
        </w:rPr>
        <w:t>-</w:t>
      </w:r>
      <w:r w:rsidRPr="00E96612">
        <w:rPr>
          <w:rFonts w:ascii="Calibri" w:hAnsi="Calibri" w:cs="Calibri"/>
          <w:color w:val="002060"/>
          <w:sz w:val="24"/>
          <w:szCs w:val="24"/>
          <w:lang w:val="fr-FR"/>
        </w:rPr>
        <w:tab/>
        <w:t>Les mesures de gestion à adopter dans certaines situations.</w:t>
      </w:r>
    </w:p>
    <w:p w14:paraId="60E1EDDC" w14:textId="77777777" w:rsidR="00E96612" w:rsidRPr="00E96612" w:rsidRDefault="00E96612" w:rsidP="00E96612">
      <w:pPr>
        <w:spacing w:after="0" w:line="276" w:lineRule="auto"/>
        <w:jc w:val="both"/>
        <w:rPr>
          <w:rFonts w:ascii="Calibri" w:hAnsi="Calibri" w:cs="Calibri"/>
          <w:color w:val="002060"/>
          <w:sz w:val="24"/>
          <w:szCs w:val="24"/>
          <w:lang w:val="fr-FR"/>
        </w:rPr>
      </w:pPr>
    </w:p>
    <w:p w14:paraId="2D23CFDE" w14:textId="70E6AB0B" w:rsidR="00865E06" w:rsidRDefault="00865E06" w:rsidP="00865E06">
      <w:pPr>
        <w:spacing w:after="0" w:line="276" w:lineRule="auto"/>
        <w:jc w:val="both"/>
        <w:rPr>
          <w:rFonts w:cstheme="minorHAnsi"/>
          <w:b/>
          <w:bCs/>
          <w:color w:val="1F3864" w:themeColor="accent1" w:themeShade="80"/>
          <w:sz w:val="24"/>
          <w:szCs w:val="24"/>
          <w:u w:val="single"/>
        </w:rPr>
      </w:pPr>
    </w:p>
    <w:p w14:paraId="380CF0BD" w14:textId="77777777" w:rsidR="00CB1501" w:rsidRDefault="00883DD4" w:rsidP="00865E06">
      <w:pPr>
        <w:spacing w:after="0" w:line="276" w:lineRule="auto"/>
        <w:jc w:val="both"/>
        <w:rPr>
          <w:rFonts w:cstheme="minorHAnsi"/>
          <w:b/>
          <w:bCs/>
          <w:color w:val="1F3864" w:themeColor="accent1" w:themeShade="80"/>
          <w:sz w:val="24"/>
          <w:szCs w:val="24"/>
        </w:rPr>
      </w:pPr>
      <w:r w:rsidRPr="00883DD4">
        <w:rPr>
          <w:rFonts w:cstheme="minorHAnsi"/>
          <w:b/>
          <w:bCs/>
          <w:color w:val="1F3864" w:themeColor="accent1" w:themeShade="80"/>
          <w:sz w:val="24"/>
          <w:szCs w:val="24"/>
          <w:u w:val="single"/>
        </w:rPr>
        <w:t>FORMAT</w:t>
      </w:r>
      <w:r w:rsidR="00E96612">
        <w:rPr>
          <w:rFonts w:cstheme="minorHAnsi"/>
          <w:b/>
          <w:bCs/>
          <w:color w:val="1F3864" w:themeColor="accent1" w:themeShade="80"/>
          <w:sz w:val="24"/>
          <w:szCs w:val="24"/>
          <w:u w:val="single"/>
        </w:rPr>
        <w:t>EUR</w:t>
      </w:r>
      <w:r w:rsidRPr="00883DD4">
        <w:rPr>
          <w:rFonts w:cstheme="minorHAnsi"/>
          <w:b/>
          <w:bCs/>
          <w:color w:val="1F3864" w:themeColor="accent1" w:themeShade="80"/>
          <w:sz w:val="24"/>
          <w:szCs w:val="24"/>
          <w:u w:val="single"/>
        </w:rPr>
        <w:t> </w:t>
      </w:r>
      <w:r w:rsidRPr="00883DD4">
        <w:rPr>
          <w:rFonts w:cstheme="minorHAnsi"/>
          <w:b/>
          <w:bCs/>
          <w:color w:val="1F3864" w:themeColor="accent1" w:themeShade="80"/>
          <w:sz w:val="24"/>
          <w:szCs w:val="24"/>
        </w:rPr>
        <w:t xml:space="preserve">: </w:t>
      </w:r>
    </w:p>
    <w:p w14:paraId="3B77386B" w14:textId="34139613" w:rsidR="00883DD4" w:rsidRPr="00883DD4" w:rsidRDefault="00C305A5" w:rsidP="00865E06">
      <w:pPr>
        <w:spacing w:after="0" w:line="276" w:lineRule="auto"/>
        <w:jc w:val="both"/>
        <w:rPr>
          <w:rFonts w:cstheme="minorHAnsi"/>
          <w:b/>
          <w:bCs/>
          <w:color w:val="1F3864" w:themeColor="accent1" w:themeShade="80"/>
          <w:sz w:val="24"/>
          <w:szCs w:val="24"/>
        </w:rPr>
      </w:pPr>
      <w:r>
        <w:rPr>
          <w:noProof/>
        </w:rPr>
        <w:drawing>
          <wp:anchor distT="0" distB="0" distL="114300" distR="114300" simplePos="0" relativeHeight="251673600" behindDoc="1" locked="0" layoutInCell="1" allowOverlap="1" wp14:anchorId="36A71C10" wp14:editId="549D5739">
            <wp:simplePos x="0" y="0"/>
            <wp:positionH relativeFrom="column">
              <wp:posOffset>-3810</wp:posOffset>
            </wp:positionH>
            <wp:positionV relativeFrom="paragraph">
              <wp:posOffset>-4445</wp:posOffset>
            </wp:positionV>
            <wp:extent cx="1200150" cy="1440180"/>
            <wp:effectExtent l="19050" t="19050" r="19050" b="26670"/>
            <wp:wrapTight wrapText="bothSides">
              <wp:wrapPolygon edited="0">
                <wp:start x="-343" y="-286"/>
                <wp:lineTo x="-343" y="21714"/>
                <wp:lineTo x="21600" y="21714"/>
                <wp:lineTo x="21600" y="-286"/>
                <wp:lineTo x="-343" y="-286"/>
              </wp:wrapPolygon>
            </wp:wrapTight>
            <wp:docPr id="1578233470" name="Image 2" descr="Une image contenant habits, personne, homme, Visage huma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233470" name="Image 2" descr="Une image contenant habits, personne, homme, Visage humain&#10;&#10;Description générée automatiqueme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40180"/>
                    </a:xfrm>
                    <a:prstGeom prst="rect">
                      <a:avLst/>
                    </a:prstGeom>
                    <a:ln w="9525" cap="sq" cmpd="thickThin">
                      <a:solidFill>
                        <a:srgbClr val="000000"/>
                      </a:solidFill>
                      <a:prstDash val="solid"/>
                      <a:miter lim="800000"/>
                    </a:ln>
                    <a:effectLst>
                      <a:innerShdw blurRad="76200">
                        <a:srgbClr val="000000"/>
                      </a:innerShdw>
                    </a:effectLst>
                  </pic:spPr>
                </pic:pic>
              </a:graphicData>
            </a:graphic>
          </wp:anchor>
        </w:drawing>
      </w:r>
      <w:r w:rsidR="00CB1501" w:rsidRPr="00CB1501">
        <w:rPr>
          <w:rFonts w:cstheme="minorHAnsi"/>
          <w:b/>
          <w:bCs/>
          <w:color w:val="1F3864" w:themeColor="accent1" w:themeShade="80"/>
          <w:sz w:val="24"/>
          <w:szCs w:val="24"/>
        </w:rPr>
        <w:t xml:space="preserve">Me Julien Merleau-Bourassa, avocat chez </w:t>
      </w:r>
      <w:proofErr w:type="spellStart"/>
      <w:r w:rsidR="00CB1501" w:rsidRPr="00CB1501">
        <w:rPr>
          <w:rFonts w:cstheme="minorHAnsi"/>
          <w:b/>
          <w:bCs/>
          <w:color w:val="1F3864" w:themeColor="accent1" w:themeShade="80"/>
          <w:sz w:val="24"/>
          <w:szCs w:val="24"/>
        </w:rPr>
        <w:t>Dunton</w:t>
      </w:r>
      <w:proofErr w:type="spellEnd"/>
      <w:r w:rsidR="00CB1501" w:rsidRPr="00CB1501">
        <w:rPr>
          <w:rFonts w:cstheme="minorHAnsi"/>
          <w:b/>
          <w:bCs/>
          <w:color w:val="1F3864" w:themeColor="accent1" w:themeShade="80"/>
          <w:sz w:val="24"/>
          <w:szCs w:val="24"/>
        </w:rPr>
        <w:t xml:space="preserve"> Rainville</w:t>
      </w:r>
    </w:p>
    <w:p w14:paraId="7049767D" w14:textId="77777777" w:rsidR="00404F07" w:rsidRDefault="00404F07" w:rsidP="00404F07">
      <w:pPr>
        <w:spacing w:after="0" w:line="276" w:lineRule="auto"/>
        <w:jc w:val="both"/>
        <w:rPr>
          <w:rFonts w:cstheme="minorHAnsi"/>
          <w:noProof/>
          <w:color w:val="1F3864" w:themeColor="accent1" w:themeShade="80"/>
          <w:sz w:val="24"/>
          <w:szCs w:val="24"/>
          <w:lang w:val="fr-FR"/>
        </w:rPr>
      </w:pPr>
      <w:r w:rsidRPr="00404F07">
        <w:rPr>
          <w:rFonts w:cstheme="minorHAnsi"/>
          <w:noProof/>
          <w:color w:val="1F3864" w:themeColor="accent1" w:themeShade="80"/>
          <w:sz w:val="24"/>
          <w:szCs w:val="24"/>
          <w:lang w:val="fr-FR"/>
        </w:rPr>
        <w:t>Me Merleau-Bourassa œuvre principalement dans les domaines du droit public, du droit du travail et du litige civil et commercial. Il est titulaire d’une licence en droit de l’Université d’Ottawa (LL.L.) ainsi que d’un Juris Doctor de l’Université de Montréal (J.D.).</w:t>
      </w:r>
    </w:p>
    <w:p w14:paraId="447C518E" w14:textId="77777777" w:rsidR="00404F07" w:rsidRPr="00404F07" w:rsidRDefault="00404F07" w:rsidP="00404F07">
      <w:pPr>
        <w:spacing w:after="0" w:line="276" w:lineRule="auto"/>
        <w:jc w:val="both"/>
        <w:rPr>
          <w:rFonts w:cstheme="minorHAnsi"/>
          <w:noProof/>
          <w:color w:val="1F3864" w:themeColor="accent1" w:themeShade="80"/>
          <w:sz w:val="24"/>
          <w:szCs w:val="24"/>
          <w:lang w:val="fr-FR"/>
        </w:rPr>
      </w:pPr>
    </w:p>
    <w:p w14:paraId="4D539B43" w14:textId="77777777" w:rsidR="00404F07" w:rsidRPr="00404F07" w:rsidRDefault="00404F07" w:rsidP="00404F07">
      <w:pPr>
        <w:spacing w:after="0" w:line="276" w:lineRule="auto"/>
        <w:jc w:val="both"/>
        <w:rPr>
          <w:rFonts w:cstheme="minorHAnsi"/>
          <w:noProof/>
          <w:color w:val="1F3864" w:themeColor="accent1" w:themeShade="80"/>
          <w:sz w:val="24"/>
          <w:szCs w:val="24"/>
          <w:lang w:val="fr-FR"/>
        </w:rPr>
      </w:pPr>
      <w:r w:rsidRPr="00404F07">
        <w:rPr>
          <w:rFonts w:cstheme="minorHAnsi"/>
          <w:noProof/>
          <w:color w:val="1F3864" w:themeColor="accent1" w:themeShade="80"/>
          <w:sz w:val="24"/>
          <w:szCs w:val="24"/>
          <w:lang w:val="fr-FR"/>
        </w:rPr>
        <w:t>Me Merleau-Bourassa jouit d’une bonne connaissance des rouages de l’administration publique, ayant notamment travaillé auprès de ministres provinciaux pendant plusieurs années. Ses expériences variées lui permettent ainsi de bien saisir la réalité souvent complexe dans laquelle évoluent ses clients afin leur soumettre des solutions novatrices qui répondent à leurs besoins spécifiques.</w:t>
      </w:r>
    </w:p>
    <w:p w14:paraId="1FEE3EF9" w14:textId="15458271" w:rsidR="00663D4D" w:rsidRPr="00663D4D" w:rsidRDefault="00C305A5" w:rsidP="00663D4D">
      <w:pPr>
        <w:spacing w:after="0" w:line="276" w:lineRule="auto"/>
        <w:jc w:val="both"/>
        <w:rPr>
          <w:rFonts w:cstheme="minorHAnsi"/>
          <w:color w:val="1F3864" w:themeColor="accent1" w:themeShade="80"/>
          <w:sz w:val="24"/>
          <w:szCs w:val="24"/>
          <w:highlight w:val="yellow"/>
          <w:lang w:val="fr-FR"/>
        </w:rPr>
      </w:pPr>
      <w:r>
        <w:rPr>
          <w:noProof/>
        </w:rPr>
        <w:drawing>
          <wp:anchor distT="0" distB="0" distL="114300" distR="114300" simplePos="0" relativeHeight="251674624" behindDoc="1" locked="0" layoutInCell="1" allowOverlap="1" wp14:anchorId="7DB56900" wp14:editId="57D0D0A4">
            <wp:simplePos x="0" y="0"/>
            <wp:positionH relativeFrom="column">
              <wp:posOffset>3882390</wp:posOffset>
            </wp:positionH>
            <wp:positionV relativeFrom="paragraph">
              <wp:posOffset>23495</wp:posOffset>
            </wp:positionV>
            <wp:extent cx="2133600" cy="703580"/>
            <wp:effectExtent l="0" t="0" r="0" b="1270"/>
            <wp:wrapTight wrapText="bothSides">
              <wp:wrapPolygon edited="0">
                <wp:start x="0" y="0"/>
                <wp:lineTo x="0" y="21054"/>
                <wp:lineTo x="21407" y="21054"/>
                <wp:lineTo x="21407" y="0"/>
                <wp:lineTo x="0" y="0"/>
              </wp:wrapPolygon>
            </wp:wrapTight>
            <wp:docPr id="366207161" name="Image 3" descr="Une image contenant texte, Polic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207161" name="Image 3" descr="Une image contenant texte, Police, capture d’écran&#10;&#10;Description générée automatiquemen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3600" cy="7035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9E70F1" w14:textId="5EE09B4A" w:rsidR="00624ED0" w:rsidRPr="00402FBB" w:rsidRDefault="00624ED0" w:rsidP="00F66B62">
      <w:pPr>
        <w:spacing w:after="0" w:line="276" w:lineRule="auto"/>
        <w:jc w:val="both"/>
        <w:rPr>
          <w:rFonts w:cstheme="minorHAnsi"/>
          <w:color w:val="1F3864" w:themeColor="accent1" w:themeShade="80"/>
          <w:sz w:val="24"/>
          <w:szCs w:val="24"/>
          <w:highlight w:val="yellow"/>
        </w:rPr>
      </w:pPr>
    </w:p>
    <w:sectPr w:rsidR="00624ED0" w:rsidRPr="00402FBB" w:rsidSect="00B519FC">
      <w:pgSz w:w="11906" w:h="16838"/>
      <w:pgMar w:top="1134" w:right="1191" w:bottom="1134"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BA4849" w14:textId="77777777" w:rsidR="00E810C4" w:rsidRDefault="00E810C4" w:rsidP="00883DD4">
      <w:pPr>
        <w:spacing w:after="0" w:line="240" w:lineRule="auto"/>
      </w:pPr>
      <w:r>
        <w:separator/>
      </w:r>
    </w:p>
  </w:endnote>
  <w:endnote w:type="continuationSeparator" w:id="0">
    <w:p w14:paraId="67AA162A" w14:textId="77777777" w:rsidR="00E810C4" w:rsidRDefault="00E810C4" w:rsidP="00883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5991F4" w14:textId="77777777" w:rsidR="00E810C4" w:rsidRDefault="00E810C4" w:rsidP="00883DD4">
      <w:pPr>
        <w:spacing w:after="0" w:line="240" w:lineRule="auto"/>
      </w:pPr>
      <w:r>
        <w:separator/>
      </w:r>
    </w:p>
  </w:footnote>
  <w:footnote w:type="continuationSeparator" w:id="0">
    <w:p w14:paraId="5C9288CA" w14:textId="77777777" w:rsidR="00E810C4" w:rsidRDefault="00E810C4" w:rsidP="00883D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9266C"/>
    <w:multiLevelType w:val="hybridMultilevel"/>
    <w:tmpl w:val="5D2E1712"/>
    <w:lvl w:ilvl="0" w:tplc="040C0003">
      <w:start w:val="1"/>
      <w:numFmt w:val="bullet"/>
      <w:lvlText w:val="o"/>
      <w:lvlJc w:val="left"/>
      <w:pPr>
        <w:ind w:left="1146" w:hanging="360"/>
      </w:pPr>
      <w:rPr>
        <w:rFonts w:ascii="Courier New" w:hAnsi="Courier New" w:cs="Courier New"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 w15:restartNumberingAfterBreak="0">
    <w:nsid w:val="0DA63F91"/>
    <w:multiLevelType w:val="hybridMultilevel"/>
    <w:tmpl w:val="CBAAF3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77087D"/>
    <w:multiLevelType w:val="hybridMultilevel"/>
    <w:tmpl w:val="A05C8A3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FA0078"/>
    <w:multiLevelType w:val="hybridMultilevel"/>
    <w:tmpl w:val="C0A65C9E"/>
    <w:lvl w:ilvl="0" w:tplc="94529664">
      <w:numFmt w:val="bullet"/>
      <w:lvlText w:val="−"/>
      <w:lvlJc w:val="left"/>
      <w:pPr>
        <w:ind w:left="720" w:hanging="360"/>
      </w:pPr>
      <w:rPr>
        <w:rFonts w:ascii="Calibri" w:eastAsiaTheme="minorHAnsi" w:hAnsi="Calibri" w:cs="Calibri" w:hint="default"/>
      </w:rPr>
    </w:lvl>
    <w:lvl w:ilvl="1" w:tplc="94C826FC">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F047A38"/>
    <w:multiLevelType w:val="hybridMultilevel"/>
    <w:tmpl w:val="D1BEE826"/>
    <w:lvl w:ilvl="0" w:tplc="9452966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1077539"/>
    <w:multiLevelType w:val="hybridMultilevel"/>
    <w:tmpl w:val="82FEF14A"/>
    <w:lvl w:ilvl="0" w:tplc="9452966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05622569">
    <w:abstractNumId w:val="3"/>
  </w:num>
  <w:num w:numId="2" w16cid:durableId="1749842193">
    <w:abstractNumId w:val="4"/>
  </w:num>
  <w:num w:numId="3" w16cid:durableId="1685478974">
    <w:abstractNumId w:val="5"/>
  </w:num>
  <w:num w:numId="4" w16cid:durableId="1301181678">
    <w:abstractNumId w:val="1"/>
  </w:num>
  <w:num w:numId="5" w16cid:durableId="1546018379">
    <w:abstractNumId w:val="2"/>
  </w:num>
  <w:num w:numId="6" w16cid:durableId="1407075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F12"/>
    <w:rsid w:val="00016982"/>
    <w:rsid w:val="0014391E"/>
    <w:rsid w:val="00244276"/>
    <w:rsid w:val="002F399F"/>
    <w:rsid w:val="00330A87"/>
    <w:rsid w:val="00402FBB"/>
    <w:rsid w:val="00404F07"/>
    <w:rsid w:val="004072FD"/>
    <w:rsid w:val="0051485C"/>
    <w:rsid w:val="005F5F12"/>
    <w:rsid w:val="00624ED0"/>
    <w:rsid w:val="0064348C"/>
    <w:rsid w:val="00663D4D"/>
    <w:rsid w:val="00733FFB"/>
    <w:rsid w:val="007532A9"/>
    <w:rsid w:val="00771A77"/>
    <w:rsid w:val="00807137"/>
    <w:rsid w:val="00825A39"/>
    <w:rsid w:val="00865E06"/>
    <w:rsid w:val="00883DD4"/>
    <w:rsid w:val="009A0B30"/>
    <w:rsid w:val="009C39B8"/>
    <w:rsid w:val="00AE1696"/>
    <w:rsid w:val="00B519FC"/>
    <w:rsid w:val="00B72364"/>
    <w:rsid w:val="00B75008"/>
    <w:rsid w:val="00BE6B0C"/>
    <w:rsid w:val="00BF25B1"/>
    <w:rsid w:val="00BF7A8A"/>
    <w:rsid w:val="00C305A5"/>
    <w:rsid w:val="00CB1501"/>
    <w:rsid w:val="00CB551A"/>
    <w:rsid w:val="00D03D80"/>
    <w:rsid w:val="00D06C3D"/>
    <w:rsid w:val="00D23E5B"/>
    <w:rsid w:val="00E420C1"/>
    <w:rsid w:val="00E537D2"/>
    <w:rsid w:val="00E810C4"/>
    <w:rsid w:val="00E96612"/>
    <w:rsid w:val="00EC0162"/>
    <w:rsid w:val="00F40A9C"/>
    <w:rsid w:val="00F66B62"/>
    <w:rsid w:val="00F74FF6"/>
    <w:rsid w:val="00FA38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749CC"/>
  <w15:chartTrackingRefBased/>
  <w15:docId w15:val="{E2A929D3-5442-497B-80C8-B8B3CE811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83DD4"/>
    <w:pPr>
      <w:spacing w:after="0" w:line="240" w:lineRule="auto"/>
      <w:ind w:left="720"/>
      <w:contextualSpacing/>
    </w:pPr>
    <w:rPr>
      <w:rFonts w:ascii="Calibri" w:hAnsi="Calibri" w:cs="Calibri"/>
      <w:kern w:val="0"/>
      <w:lang w:eastAsia="fr-CA"/>
      <w14:ligatures w14:val="none"/>
    </w:rPr>
  </w:style>
  <w:style w:type="character" w:styleId="Marquedecommentaire">
    <w:name w:val="annotation reference"/>
    <w:basedOn w:val="Policepardfaut"/>
    <w:uiPriority w:val="99"/>
    <w:semiHidden/>
    <w:unhideWhenUsed/>
    <w:rsid w:val="00883DD4"/>
    <w:rPr>
      <w:sz w:val="16"/>
      <w:szCs w:val="16"/>
    </w:rPr>
  </w:style>
  <w:style w:type="paragraph" w:styleId="Commentaire">
    <w:name w:val="annotation text"/>
    <w:basedOn w:val="Normal"/>
    <w:link w:val="CommentaireCar"/>
    <w:uiPriority w:val="99"/>
    <w:unhideWhenUsed/>
    <w:rsid w:val="00883DD4"/>
    <w:pPr>
      <w:spacing w:line="240" w:lineRule="auto"/>
    </w:pPr>
    <w:rPr>
      <w:kern w:val="0"/>
      <w:sz w:val="20"/>
      <w:szCs w:val="20"/>
      <w14:ligatures w14:val="none"/>
    </w:rPr>
  </w:style>
  <w:style w:type="character" w:customStyle="1" w:styleId="CommentaireCar">
    <w:name w:val="Commentaire Car"/>
    <w:basedOn w:val="Policepardfaut"/>
    <w:link w:val="Commentaire"/>
    <w:uiPriority w:val="99"/>
    <w:rsid w:val="00883DD4"/>
    <w:rPr>
      <w:kern w:val="0"/>
      <w:sz w:val="20"/>
      <w:szCs w:val="20"/>
      <w:lang w:val="fr-CA"/>
      <w14:ligatures w14:val="none"/>
    </w:rPr>
  </w:style>
  <w:style w:type="paragraph" w:styleId="En-tte">
    <w:name w:val="header"/>
    <w:basedOn w:val="Normal"/>
    <w:link w:val="En-tteCar"/>
    <w:uiPriority w:val="99"/>
    <w:unhideWhenUsed/>
    <w:rsid w:val="00883DD4"/>
    <w:pPr>
      <w:tabs>
        <w:tab w:val="center" w:pos="4153"/>
        <w:tab w:val="right" w:pos="8306"/>
      </w:tabs>
      <w:spacing w:after="0" w:line="240" w:lineRule="auto"/>
    </w:pPr>
  </w:style>
  <w:style w:type="character" w:customStyle="1" w:styleId="En-tteCar">
    <w:name w:val="En-tête Car"/>
    <w:basedOn w:val="Policepardfaut"/>
    <w:link w:val="En-tte"/>
    <w:uiPriority w:val="99"/>
    <w:rsid w:val="00883DD4"/>
    <w:rPr>
      <w:lang w:val="fr-CA"/>
    </w:rPr>
  </w:style>
  <w:style w:type="paragraph" w:styleId="Pieddepage">
    <w:name w:val="footer"/>
    <w:basedOn w:val="Normal"/>
    <w:link w:val="PieddepageCar"/>
    <w:uiPriority w:val="99"/>
    <w:unhideWhenUsed/>
    <w:rsid w:val="00883DD4"/>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883DD4"/>
    <w:rPr>
      <w:lang w:val="fr-CA"/>
    </w:rPr>
  </w:style>
  <w:style w:type="paragraph" w:styleId="Notedebasdepage">
    <w:name w:val="footnote text"/>
    <w:basedOn w:val="Normal"/>
    <w:link w:val="NotedebasdepageCar"/>
    <w:uiPriority w:val="99"/>
    <w:semiHidden/>
    <w:unhideWhenUsed/>
    <w:rsid w:val="00B7236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72364"/>
    <w:rPr>
      <w:sz w:val="20"/>
      <w:szCs w:val="20"/>
      <w:lang w:val="fr-CA"/>
    </w:rPr>
  </w:style>
  <w:style w:type="character" w:styleId="Appelnotedebasdep">
    <w:name w:val="footnote reference"/>
    <w:basedOn w:val="Policepardfaut"/>
    <w:uiPriority w:val="99"/>
    <w:semiHidden/>
    <w:unhideWhenUsed/>
    <w:rsid w:val="00B72364"/>
    <w:rPr>
      <w:vertAlign w:val="superscript"/>
    </w:rPr>
  </w:style>
  <w:style w:type="paragraph" w:styleId="Objetducommentaire">
    <w:name w:val="annotation subject"/>
    <w:basedOn w:val="Commentaire"/>
    <w:next w:val="Commentaire"/>
    <w:link w:val="ObjetducommentaireCar"/>
    <w:uiPriority w:val="99"/>
    <w:semiHidden/>
    <w:unhideWhenUsed/>
    <w:rsid w:val="007532A9"/>
    <w:rPr>
      <w:b/>
      <w:bCs/>
      <w:kern w:val="2"/>
      <w14:ligatures w14:val="standardContextual"/>
    </w:rPr>
  </w:style>
  <w:style w:type="character" w:customStyle="1" w:styleId="ObjetducommentaireCar">
    <w:name w:val="Objet du commentaire Car"/>
    <w:basedOn w:val="CommentaireCar"/>
    <w:link w:val="Objetducommentaire"/>
    <w:uiPriority w:val="99"/>
    <w:semiHidden/>
    <w:rsid w:val="007532A9"/>
    <w:rPr>
      <w:b/>
      <w:bCs/>
      <w:kern w:val="0"/>
      <w:sz w:val="20"/>
      <w:szCs w:val="20"/>
      <w:lang w:val="fr-CA"/>
      <w14:ligatures w14:val="none"/>
    </w:rPr>
  </w:style>
  <w:style w:type="character" w:styleId="Lienhypertexte">
    <w:name w:val="Hyperlink"/>
    <w:basedOn w:val="Policepardfaut"/>
    <w:uiPriority w:val="99"/>
    <w:unhideWhenUsed/>
    <w:rsid w:val="00244276"/>
    <w:rPr>
      <w:color w:val="0563C1" w:themeColor="hyperlink"/>
      <w:u w:val="single"/>
    </w:rPr>
  </w:style>
  <w:style w:type="character" w:styleId="Mentionnonrsolue">
    <w:name w:val="Unresolved Mention"/>
    <w:basedOn w:val="Policepardfaut"/>
    <w:uiPriority w:val="99"/>
    <w:semiHidden/>
    <w:unhideWhenUsed/>
    <w:rsid w:val="00B75008"/>
    <w:rPr>
      <w:color w:val="605E5C"/>
      <w:shd w:val="clear" w:color="auto" w:fill="E1DFDD"/>
    </w:rPr>
  </w:style>
  <w:style w:type="character" w:styleId="Lienhypertextesuivivisit">
    <w:name w:val="FollowedHyperlink"/>
    <w:basedOn w:val="Policepardfaut"/>
    <w:uiPriority w:val="99"/>
    <w:semiHidden/>
    <w:unhideWhenUsed/>
    <w:rsid w:val="00E420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410685">
      <w:bodyDiv w:val="1"/>
      <w:marLeft w:val="0"/>
      <w:marRight w:val="0"/>
      <w:marTop w:val="0"/>
      <w:marBottom w:val="0"/>
      <w:divBdr>
        <w:top w:val="none" w:sz="0" w:space="0" w:color="auto"/>
        <w:left w:val="none" w:sz="0" w:space="0" w:color="auto"/>
        <w:bottom w:val="none" w:sz="0" w:space="0" w:color="auto"/>
        <w:right w:val="none" w:sz="0" w:space="0" w:color="auto"/>
      </w:divBdr>
    </w:div>
    <w:div w:id="440345307">
      <w:bodyDiv w:val="1"/>
      <w:marLeft w:val="0"/>
      <w:marRight w:val="0"/>
      <w:marTop w:val="0"/>
      <w:marBottom w:val="0"/>
      <w:divBdr>
        <w:top w:val="none" w:sz="0" w:space="0" w:color="auto"/>
        <w:left w:val="none" w:sz="0" w:space="0" w:color="auto"/>
        <w:bottom w:val="none" w:sz="0" w:space="0" w:color="auto"/>
        <w:right w:val="none" w:sz="0" w:space="0" w:color="auto"/>
      </w:divBdr>
    </w:div>
    <w:div w:id="681443700">
      <w:bodyDiv w:val="1"/>
      <w:marLeft w:val="0"/>
      <w:marRight w:val="0"/>
      <w:marTop w:val="0"/>
      <w:marBottom w:val="0"/>
      <w:divBdr>
        <w:top w:val="none" w:sz="0" w:space="0" w:color="auto"/>
        <w:left w:val="none" w:sz="0" w:space="0" w:color="auto"/>
        <w:bottom w:val="none" w:sz="0" w:space="0" w:color="auto"/>
        <w:right w:val="none" w:sz="0" w:space="0" w:color="auto"/>
      </w:divBdr>
    </w:div>
    <w:div w:id="700056719">
      <w:bodyDiv w:val="1"/>
      <w:marLeft w:val="0"/>
      <w:marRight w:val="0"/>
      <w:marTop w:val="0"/>
      <w:marBottom w:val="0"/>
      <w:divBdr>
        <w:top w:val="none" w:sz="0" w:space="0" w:color="auto"/>
        <w:left w:val="none" w:sz="0" w:space="0" w:color="auto"/>
        <w:bottom w:val="none" w:sz="0" w:space="0" w:color="auto"/>
        <w:right w:val="none" w:sz="0" w:space="0" w:color="auto"/>
      </w:divBdr>
    </w:div>
    <w:div w:id="880172273">
      <w:bodyDiv w:val="1"/>
      <w:marLeft w:val="0"/>
      <w:marRight w:val="0"/>
      <w:marTop w:val="0"/>
      <w:marBottom w:val="0"/>
      <w:divBdr>
        <w:top w:val="none" w:sz="0" w:space="0" w:color="auto"/>
        <w:left w:val="none" w:sz="0" w:space="0" w:color="auto"/>
        <w:bottom w:val="none" w:sz="0" w:space="0" w:color="auto"/>
        <w:right w:val="none" w:sz="0" w:space="0" w:color="auto"/>
      </w:divBdr>
    </w:div>
    <w:div w:id="1363169936">
      <w:bodyDiv w:val="1"/>
      <w:marLeft w:val="0"/>
      <w:marRight w:val="0"/>
      <w:marTop w:val="0"/>
      <w:marBottom w:val="0"/>
      <w:divBdr>
        <w:top w:val="none" w:sz="0" w:space="0" w:color="auto"/>
        <w:left w:val="none" w:sz="0" w:space="0" w:color="auto"/>
        <w:bottom w:val="none" w:sz="0" w:space="0" w:color="auto"/>
        <w:right w:val="none" w:sz="0" w:space="0" w:color="auto"/>
      </w:divBdr>
    </w:div>
    <w:div w:id="1757706268">
      <w:bodyDiv w:val="1"/>
      <w:marLeft w:val="0"/>
      <w:marRight w:val="0"/>
      <w:marTop w:val="0"/>
      <w:marBottom w:val="0"/>
      <w:divBdr>
        <w:top w:val="none" w:sz="0" w:space="0" w:color="auto"/>
        <w:left w:val="none" w:sz="0" w:space="0" w:color="auto"/>
        <w:bottom w:val="none" w:sz="0" w:space="0" w:color="auto"/>
        <w:right w:val="none" w:sz="0" w:space="0" w:color="auto"/>
      </w:divBdr>
    </w:div>
    <w:div w:id="208417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dgmrcq.ca/evenements-et-formations/activites/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dgmrcq.ca/evenements-et-formations/activites/formation/"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3351690B8D274B871F33D7DA7CE182" ma:contentTypeVersion="13" ma:contentTypeDescription="Crée un document." ma:contentTypeScope="" ma:versionID="ed856437d661f770e762416488ba7edf">
  <xsd:schema xmlns:xsd="http://www.w3.org/2001/XMLSchema" xmlns:xs="http://www.w3.org/2001/XMLSchema" xmlns:p="http://schemas.microsoft.com/office/2006/metadata/properties" xmlns:ns2="f4417876-a1f8-4ede-be2d-57c4c8dd1830" xmlns:ns3="a79b645e-8cd6-44fd-ab30-bb037b914104" targetNamespace="http://schemas.microsoft.com/office/2006/metadata/properties" ma:root="true" ma:fieldsID="5d2a38f598d1ec14350e9573e997b99f" ns2:_="" ns3:_="">
    <xsd:import namespace="f4417876-a1f8-4ede-be2d-57c4c8dd1830"/>
    <xsd:import namespace="a79b645e-8cd6-44fd-ab30-bb037b9141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417876-a1f8-4ede-be2d-57c4c8dd18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9b645e-8cd6-44fd-ab30-bb037b914104"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6A3FA6-D8D6-4FBC-A391-158C96E8BC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B0BE34-D233-4414-A513-087E854BB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417876-a1f8-4ede-be2d-57c4c8dd1830"/>
    <ds:schemaRef ds:uri="a79b645e-8cd6-44fd-ab30-bb037b9141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14860B-5CFC-485E-8087-92F7CB12A4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367</Words>
  <Characters>2023</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Amélie Fournier</dc:creator>
  <cp:keywords/>
  <dc:description/>
  <cp:lastModifiedBy>Alain Lapierre</cp:lastModifiedBy>
  <cp:revision>11</cp:revision>
  <dcterms:created xsi:type="dcterms:W3CDTF">2024-07-05T13:42:00Z</dcterms:created>
  <dcterms:modified xsi:type="dcterms:W3CDTF">2024-07-10T17:49:00Z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0x0101009D3351690B8D274B871F33D7DA7CE182</vt:lpwstr>
  </property>
</Properties>
</file>